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107509" w14:textId="4C56FBF2" w:rsidR="0066315C" w:rsidRPr="00B53C40" w:rsidRDefault="0066315C" w:rsidP="0066315C">
      <w:pPr>
        <w:jc w:val="both"/>
        <w:rPr>
          <w:color w:val="000000" w:themeColor="text1"/>
        </w:rPr>
      </w:pPr>
      <w:r w:rsidRPr="0066315C">
        <w:rPr>
          <w:iCs/>
          <w:color w:val="000000" w:themeColor="text1"/>
        </w:rPr>
        <w:t xml:space="preserve">Supplementary Table1. </w:t>
      </w:r>
      <w:r w:rsidRPr="0066315C">
        <w:rPr>
          <w:color w:val="000000" w:themeColor="text1"/>
        </w:rPr>
        <w:t>List of excluded articles.</w:t>
      </w:r>
    </w:p>
    <w:tbl>
      <w:tblPr>
        <w:tblStyle w:val="TableGrid"/>
        <w:tblW w:w="0" w:type="auto"/>
        <w:tblLook w:val="04A0" w:firstRow="1" w:lastRow="0" w:firstColumn="1" w:lastColumn="0" w:noHBand="0" w:noVBand="1"/>
      </w:tblPr>
      <w:tblGrid>
        <w:gridCol w:w="1232"/>
        <w:gridCol w:w="1014"/>
        <w:gridCol w:w="937"/>
        <w:gridCol w:w="1046"/>
        <w:gridCol w:w="2913"/>
        <w:gridCol w:w="2208"/>
      </w:tblGrid>
      <w:tr w:rsidR="0066315C" w:rsidRPr="00B53C40" w14:paraId="769C87E5" w14:textId="77777777" w:rsidTr="00B646A8">
        <w:trPr>
          <w:trHeight w:val="300"/>
        </w:trPr>
        <w:tc>
          <w:tcPr>
            <w:tcW w:w="1800" w:type="dxa"/>
            <w:noWrap/>
            <w:hideMark/>
          </w:tcPr>
          <w:p w14:paraId="7D280425" w14:textId="77777777" w:rsidR="0066315C" w:rsidRPr="0066315C" w:rsidRDefault="0066315C" w:rsidP="0066315C">
            <w:pPr>
              <w:spacing w:line="480" w:lineRule="auto"/>
              <w:jc w:val="both"/>
              <w:rPr>
                <w:color w:val="000000" w:themeColor="text1"/>
              </w:rPr>
            </w:pPr>
            <w:r w:rsidRPr="0066315C">
              <w:rPr>
                <w:color w:val="000000" w:themeColor="text1"/>
              </w:rPr>
              <w:t>Author</w:t>
            </w:r>
          </w:p>
        </w:tc>
        <w:tc>
          <w:tcPr>
            <w:tcW w:w="1460" w:type="dxa"/>
            <w:noWrap/>
            <w:hideMark/>
          </w:tcPr>
          <w:p w14:paraId="0333F861" w14:textId="77777777" w:rsidR="0066315C" w:rsidRPr="0066315C" w:rsidRDefault="0066315C" w:rsidP="0066315C">
            <w:pPr>
              <w:spacing w:line="480" w:lineRule="auto"/>
              <w:jc w:val="both"/>
              <w:rPr>
                <w:color w:val="000000" w:themeColor="text1"/>
              </w:rPr>
            </w:pPr>
            <w:r w:rsidRPr="0066315C">
              <w:rPr>
                <w:color w:val="000000" w:themeColor="text1"/>
              </w:rPr>
              <w:t>Year</w:t>
            </w:r>
          </w:p>
        </w:tc>
        <w:tc>
          <w:tcPr>
            <w:tcW w:w="1340" w:type="dxa"/>
            <w:noWrap/>
            <w:hideMark/>
          </w:tcPr>
          <w:p w14:paraId="7BCC5B4E" w14:textId="77777777" w:rsidR="0066315C" w:rsidRPr="0066315C" w:rsidRDefault="0066315C" w:rsidP="0066315C">
            <w:pPr>
              <w:spacing w:line="480" w:lineRule="auto"/>
              <w:jc w:val="both"/>
              <w:rPr>
                <w:color w:val="000000" w:themeColor="text1"/>
              </w:rPr>
            </w:pPr>
            <w:r w:rsidRPr="0066315C">
              <w:rPr>
                <w:color w:val="000000" w:themeColor="text1"/>
              </w:rPr>
              <w:t>Country</w:t>
            </w:r>
          </w:p>
        </w:tc>
        <w:tc>
          <w:tcPr>
            <w:tcW w:w="1480" w:type="dxa"/>
            <w:noWrap/>
            <w:hideMark/>
          </w:tcPr>
          <w:p w14:paraId="69D7B6C6" w14:textId="77777777" w:rsidR="0066315C" w:rsidRPr="0066315C" w:rsidRDefault="0066315C" w:rsidP="0066315C">
            <w:pPr>
              <w:spacing w:line="480" w:lineRule="auto"/>
              <w:jc w:val="both"/>
              <w:rPr>
                <w:color w:val="000000" w:themeColor="text1"/>
              </w:rPr>
            </w:pPr>
            <w:r w:rsidRPr="0066315C">
              <w:rPr>
                <w:color w:val="000000" w:themeColor="text1"/>
              </w:rPr>
              <w:t>Study design</w:t>
            </w:r>
          </w:p>
        </w:tc>
        <w:tc>
          <w:tcPr>
            <w:tcW w:w="4420" w:type="dxa"/>
            <w:noWrap/>
            <w:hideMark/>
          </w:tcPr>
          <w:p w14:paraId="138BA904" w14:textId="77777777" w:rsidR="0066315C" w:rsidRPr="0066315C" w:rsidRDefault="0066315C" w:rsidP="0066315C">
            <w:pPr>
              <w:spacing w:line="480" w:lineRule="auto"/>
              <w:jc w:val="both"/>
              <w:rPr>
                <w:color w:val="000000" w:themeColor="text1"/>
              </w:rPr>
            </w:pPr>
            <w:r w:rsidRPr="0066315C">
              <w:rPr>
                <w:color w:val="000000" w:themeColor="text1"/>
              </w:rPr>
              <w:t>Results</w:t>
            </w:r>
          </w:p>
        </w:tc>
        <w:tc>
          <w:tcPr>
            <w:tcW w:w="3320" w:type="dxa"/>
            <w:noWrap/>
            <w:hideMark/>
          </w:tcPr>
          <w:p w14:paraId="6FDFC52F" w14:textId="77777777" w:rsidR="0066315C" w:rsidRPr="0066315C" w:rsidRDefault="0066315C" w:rsidP="0066315C">
            <w:pPr>
              <w:spacing w:line="480" w:lineRule="auto"/>
              <w:jc w:val="both"/>
              <w:rPr>
                <w:color w:val="000000" w:themeColor="text1"/>
              </w:rPr>
            </w:pPr>
            <w:r w:rsidRPr="0066315C">
              <w:rPr>
                <w:color w:val="000000" w:themeColor="text1"/>
              </w:rPr>
              <w:t>Reason of exclusion</w:t>
            </w:r>
          </w:p>
        </w:tc>
      </w:tr>
      <w:tr w:rsidR="0066315C" w:rsidRPr="00B53C40" w14:paraId="74F70793" w14:textId="77777777" w:rsidTr="00B646A8">
        <w:trPr>
          <w:trHeight w:val="1200"/>
        </w:trPr>
        <w:tc>
          <w:tcPr>
            <w:tcW w:w="1800" w:type="dxa"/>
            <w:noWrap/>
            <w:hideMark/>
          </w:tcPr>
          <w:p w14:paraId="6E1644B7" w14:textId="77777777" w:rsidR="0066315C" w:rsidRPr="0066315C" w:rsidRDefault="0066315C" w:rsidP="0066315C">
            <w:pPr>
              <w:spacing w:line="480" w:lineRule="auto"/>
              <w:jc w:val="both"/>
              <w:rPr>
                <w:color w:val="000000" w:themeColor="text1"/>
              </w:rPr>
            </w:pPr>
            <w:r w:rsidRPr="0066315C">
              <w:rPr>
                <w:color w:val="000000" w:themeColor="text1"/>
              </w:rPr>
              <w:t xml:space="preserve">Zelalem Belayneh </w:t>
            </w:r>
          </w:p>
        </w:tc>
        <w:tc>
          <w:tcPr>
            <w:tcW w:w="1460" w:type="dxa"/>
            <w:noWrap/>
            <w:hideMark/>
          </w:tcPr>
          <w:p w14:paraId="6757094E" w14:textId="77777777" w:rsidR="0066315C" w:rsidRPr="0066315C" w:rsidRDefault="0066315C" w:rsidP="0066315C">
            <w:pPr>
              <w:spacing w:line="480" w:lineRule="auto"/>
              <w:jc w:val="both"/>
              <w:rPr>
                <w:color w:val="000000" w:themeColor="text1"/>
              </w:rPr>
            </w:pPr>
            <w:r w:rsidRPr="0066315C">
              <w:rPr>
                <w:color w:val="000000" w:themeColor="text1"/>
              </w:rPr>
              <w:t>2019</w:t>
            </w:r>
          </w:p>
        </w:tc>
        <w:tc>
          <w:tcPr>
            <w:tcW w:w="1340" w:type="dxa"/>
            <w:noWrap/>
            <w:hideMark/>
          </w:tcPr>
          <w:p w14:paraId="110CD3AD" w14:textId="77777777" w:rsidR="0066315C" w:rsidRPr="0066315C" w:rsidRDefault="0066315C" w:rsidP="0066315C">
            <w:pPr>
              <w:spacing w:line="480" w:lineRule="auto"/>
              <w:jc w:val="both"/>
              <w:rPr>
                <w:color w:val="000000" w:themeColor="text1"/>
              </w:rPr>
            </w:pPr>
            <w:r w:rsidRPr="0066315C">
              <w:rPr>
                <w:color w:val="000000" w:themeColor="text1"/>
              </w:rPr>
              <w:t>Ethiopia</w:t>
            </w:r>
          </w:p>
        </w:tc>
        <w:tc>
          <w:tcPr>
            <w:tcW w:w="1480" w:type="dxa"/>
            <w:noWrap/>
            <w:hideMark/>
          </w:tcPr>
          <w:p w14:paraId="34213B43" w14:textId="77777777" w:rsidR="0066315C" w:rsidRPr="0066315C" w:rsidRDefault="0066315C" w:rsidP="0066315C">
            <w:pPr>
              <w:spacing w:line="480" w:lineRule="auto"/>
              <w:jc w:val="both"/>
              <w:rPr>
                <w:color w:val="000000" w:themeColor="text1"/>
              </w:rPr>
            </w:pPr>
            <w:r w:rsidRPr="0066315C">
              <w:rPr>
                <w:color w:val="000000" w:themeColor="text1"/>
              </w:rPr>
              <w:t>Cross-sectional</w:t>
            </w:r>
          </w:p>
        </w:tc>
        <w:tc>
          <w:tcPr>
            <w:tcW w:w="4420" w:type="dxa"/>
            <w:hideMark/>
          </w:tcPr>
          <w:p w14:paraId="79EB41A4" w14:textId="77777777" w:rsidR="0066315C" w:rsidRPr="0066315C" w:rsidRDefault="0066315C" w:rsidP="0066315C">
            <w:pPr>
              <w:spacing w:line="480" w:lineRule="auto"/>
              <w:jc w:val="both"/>
              <w:rPr>
                <w:color w:val="000000" w:themeColor="text1"/>
              </w:rPr>
            </w:pPr>
            <w:r w:rsidRPr="0066315C">
              <w:rPr>
                <w:color w:val="000000" w:themeColor="text1"/>
              </w:rPr>
              <w:t xml:space="preserve">68.3% of adolescent women had poor knowledge of menstruation and 60.3% of girls had poor menstrual hygienic practice. </w:t>
            </w:r>
          </w:p>
        </w:tc>
        <w:tc>
          <w:tcPr>
            <w:tcW w:w="3320" w:type="dxa"/>
            <w:hideMark/>
          </w:tcPr>
          <w:p w14:paraId="51423BA5" w14:textId="77777777" w:rsidR="0066315C" w:rsidRPr="0066315C" w:rsidRDefault="0066315C" w:rsidP="0066315C">
            <w:pPr>
              <w:spacing w:line="480" w:lineRule="auto"/>
              <w:jc w:val="both"/>
              <w:rPr>
                <w:color w:val="000000" w:themeColor="text1"/>
              </w:rPr>
            </w:pPr>
            <w:r w:rsidRPr="0066315C">
              <w:rPr>
                <w:color w:val="000000" w:themeColor="text1"/>
              </w:rPr>
              <w:t>The current article focused on the assessment of knowledge and menstrual hygiene practice rather than its relation to infections</w:t>
            </w:r>
          </w:p>
        </w:tc>
      </w:tr>
      <w:tr w:rsidR="0066315C" w:rsidRPr="00B53C40" w14:paraId="6CC6F7B4" w14:textId="77777777" w:rsidTr="00B646A8">
        <w:trPr>
          <w:trHeight w:val="2580"/>
        </w:trPr>
        <w:tc>
          <w:tcPr>
            <w:tcW w:w="1800" w:type="dxa"/>
            <w:noWrap/>
            <w:hideMark/>
          </w:tcPr>
          <w:p w14:paraId="43EA7C0D" w14:textId="77777777" w:rsidR="0066315C" w:rsidRPr="0066315C" w:rsidRDefault="0066315C" w:rsidP="0066315C">
            <w:pPr>
              <w:spacing w:line="480" w:lineRule="auto"/>
              <w:jc w:val="both"/>
              <w:rPr>
                <w:color w:val="000000" w:themeColor="text1"/>
              </w:rPr>
            </w:pPr>
            <w:r w:rsidRPr="0066315C">
              <w:rPr>
                <w:color w:val="000000" w:themeColor="text1"/>
              </w:rPr>
              <w:t>Rajesh Garg</w:t>
            </w:r>
          </w:p>
        </w:tc>
        <w:tc>
          <w:tcPr>
            <w:tcW w:w="1460" w:type="dxa"/>
            <w:noWrap/>
            <w:hideMark/>
          </w:tcPr>
          <w:p w14:paraId="15A5DD0F" w14:textId="77777777" w:rsidR="0066315C" w:rsidRPr="0066315C" w:rsidRDefault="0066315C" w:rsidP="0066315C">
            <w:pPr>
              <w:spacing w:line="480" w:lineRule="auto"/>
              <w:jc w:val="both"/>
              <w:rPr>
                <w:color w:val="000000" w:themeColor="text1"/>
              </w:rPr>
            </w:pPr>
            <w:r w:rsidRPr="0066315C">
              <w:rPr>
                <w:color w:val="000000" w:themeColor="text1"/>
              </w:rPr>
              <w:t>2011</w:t>
            </w:r>
          </w:p>
        </w:tc>
        <w:tc>
          <w:tcPr>
            <w:tcW w:w="1340" w:type="dxa"/>
            <w:noWrap/>
            <w:hideMark/>
          </w:tcPr>
          <w:p w14:paraId="171E563A" w14:textId="77777777" w:rsidR="0066315C" w:rsidRPr="0066315C" w:rsidRDefault="0066315C" w:rsidP="0066315C">
            <w:pPr>
              <w:spacing w:line="480" w:lineRule="auto"/>
              <w:jc w:val="both"/>
              <w:rPr>
                <w:color w:val="000000" w:themeColor="text1"/>
              </w:rPr>
            </w:pPr>
            <w:r w:rsidRPr="0066315C">
              <w:rPr>
                <w:color w:val="000000" w:themeColor="text1"/>
              </w:rPr>
              <w:t>India</w:t>
            </w:r>
          </w:p>
        </w:tc>
        <w:tc>
          <w:tcPr>
            <w:tcW w:w="1480" w:type="dxa"/>
            <w:noWrap/>
            <w:hideMark/>
          </w:tcPr>
          <w:p w14:paraId="01DEB761" w14:textId="77777777" w:rsidR="0066315C" w:rsidRPr="0066315C" w:rsidRDefault="0066315C" w:rsidP="0066315C">
            <w:pPr>
              <w:spacing w:line="480" w:lineRule="auto"/>
              <w:jc w:val="both"/>
              <w:rPr>
                <w:color w:val="000000" w:themeColor="text1"/>
              </w:rPr>
            </w:pPr>
            <w:r w:rsidRPr="0066315C">
              <w:rPr>
                <w:color w:val="000000" w:themeColor="text1"/>
              </w:rPr>
              <w:t>Cross-sectional</w:t>
            </w:r>
          </w:p>
        </w:tc>
        <w:tc>
          <w:tcPr>
            <w:tcW w:w="4420" w:type="dxa"/>
            <w:hideMark/>
          </w:tcPr>
          <w:p w14:paraId="582DC294" w14:textId="77777777" w:rsidR="0066315C" w:rsidRPr="0066315C" w:rsidRDefault="0066315C" w:rsidP="0066315C">
            <w:pPr>
              <w:spacing w:line="480" w:lineRule="auto"/>
              <w:jc w:val="both"/>
              <w:rPr>
                <w:color w:val="000000" w:themeColor="text1"/>
              </w:rPr>
            </w:pPr>
            <w:r w:rsidRPr="0066315C">
              <w:rPr>
                <w:color w:val="000000" w:themeColor="text1"/>
              </w:rPr>
              <w:t xml:space="preserve">Majority of adolescent girls in villages use rags and old clothes during menstruation, increasing the risk of reproductive tract infections (RTI’s). Adolescent girls' health needs is  unaddressed in the national welfare programs. unhygenic menstrual habits in developing countries </w:t>
            </w:r>
            <w:r w:rsidRPr="0066315C">
              <w:rPr>
                <w:color w:val="000000" w:themeColor="text1"/>
              </w:rPr>
              <w:lastRenderedPageBreak/>
              <w:t xml:space="preserve">remain an unacknowledged issue. </w:t>
            </w:r>
          </w:p>
        </w:tc>
        <w:tc>
          <w:tcPr>
            <w:tcW w:w="3320" w:type="dxa"/>
            <w:hideMark/>
          </w:tcPr>
          <w:p w14:paraId="6E8E8666" w14:textId="77777777" w:rsidR="0066315C" w:rsidRPr="0066315C" w:rsidRDefault="0066315C" w:rsidP="0066315C">
            <w:pPr>
              <w:spacing w:line="480" w:lineRule="auto"/>
              <w:jc w:val="both"/>
              <w:rPr>
                <w:color w:val="000000" w:themeColor="text1"/>
              </w:rPr>
            </w:pPr>
            <w:r w:rsidRPr="0066315C">
              <w:rPr>
                <w:color w:val="000000" w:themeColor="text1"/>
              </w:rPr>
              <w:lastRenderedPageBreak/>
              <w:t>The current article focused on the issue of menstrual hygiene from the social and human rights values attached to it rather than from the health point of view and its relation to infection</w:t>
            </w:r>
          </w:p>
        </w:tc>
      </w:tr>
      <w:tr w:rsidR="0066315C" w:rsidRPr="00B53C40" w14:paraId="6568E46B" w14:textId="77777777" w:rsidTr="00B646A8">
        <w:trPr>
          <w:trHeight w:val="1470"/>
        </w:trPr>
        <w:tc>
          <w:tcPr>
            <w:tcW w:w="1800" w:type="dxa"/>
            <w:noWrap/>
            <w:hideMark/>
          </w:tcPr>
          <w:p w14:paraId="2819AFF3" w14:textId="77777777" w:rsidR="0066315C" w:rsidRPr="0066315C" w:rsidRDefault="0066315C" w:rsidP="0066315C">
            <w:pPr>
              <w:spacing w:line="480" w:lineRule="auto"/>
              <w:jc w:val="both"/>
              <w:rPr>
                <w:color w:val="000000" w:themeColor="text1"/>
              </w:rPr>
            </w:pPr>
            <w:r w:rsidRPr="0066315C">
              <w:rPr>
                <w:color w:val="000000" w:themeColor="text1"/>
              </w:rPr>
              <w:t>Bisiayo Fashemi</w:t>
            </w:r>
          </w:p>
        </w:tc>
        <w:tc>
          <w:tcPr>
            <w:tcW w:w="1460" w:type="dxa"/>
            <w:noWrap/>
            <w:hideMark/>
          </w:tcPr>
          <w:p w14:paraId="7C7FC4FB" w14:textId="77777777" w:rsidR="0066315C" w:rsidRPr="0066315C" w:rsidRDefault="0066315C" w:rsidP="0066315C">
            <w:pPr>
              <w:spacing w:line="480" w:lineRule="auto"/>
              <w:jc w:val="both"/>
              <w:rPr>
                <w:color w:val="000000" w:themeColor="text1"/>
              </w:rPr>
            </w:pPr>
            <w:r w:rsidRPr="0066315C">
              <w:rPr>
                <w:color w:val="000000" w:themeColor="text1"/>
              </w:rPr>
              <w:t>2013</w:t>
            </w:r>
          </w:p>
        </w:tc>
        <w:tc>
          <w:tcPr>
            <w:tcW w:w="1340" w:type="dxa"/>
            <w:noWrap/>
            <w:hideMark/>
          </w:tcPr>
          <w:p w14:paraId="4CB4CADE" w14:textId="77777777" w:rsidR="0066315C" w:rsidRPr="0066315C" w:rsidRDefault="0066315C" w:rsidP="0066315C">
            <w:pPr>
              <w:spacing w:line="480" w:lineRule="auto"/>
              <w:jc w:val="both"/>
              <w:rPr>
                <w:color w:val="000000" w:themeColor="text1"/>
              </w:rPr>
            </w:pPr>
            <w:r w:rsidRPr="0066315C">
              <w:rPr>
                <w:color w:val="000000" w:themeColor="text1"/>
              </w:rPr>
              <w:t>USA</w:t>
            </w:r>
          </w:p>
        </w:tc>
        <w:tc>
          <w:tcPr>
            <w:tcW w:w="1480" w:type="dxa"/>
            <w:hideMark/>
          </w:tcPr>
          <w:p w14:paraId="4ED77FE3" w14:textId="77777777" w:rsidR="0066315C" w:rsidRPr="0066315C" w:rsidRDefault="0066315C" w:rsidP="0066315C">
            <w:pPr>
              <w:spacing w:line="480" w:lineRule="auto"/>
              <w:jc w:val="both"/>
              <w:rPr>
                <w:color w:val="000000" w:themeColor="text1"/>
              </w:rPr>
            </w:pPr>
            <w:r w:rsidRPr="0066315C">
              <w:rPr>
                <w:color w:val="000000" w:themeColor="text1"/>
              </w:rPr>
              <w:t>Experimental study</w:t>
            </w:r>
          </w:p>
        </w:tc>
        <w:tc>
          <w:tcPr>
            <w:tcW w:w="4420" w:type="dxa"/>
            <w:hideMark/>
          </w:tcPr>
          <w:p w14:paraId="3C520E1E" w14:textId="77777777" w:rsidR="0066315C" w:rsidRPr="0066315C" w:rsidRDefault="0066315C" w:rsidP="0066315C">
            <w:pPr>
              <w:spacing w:line="480" w:lineRule="auto"/>
              <w:jc w:val="both"/>
              <w:rPr>
                <w:color w:val="000000" w:themeColor="text1"/>
              </w:rPr>
            </w:pPr>
            <w:r w:rsidRPr="0066315C">
              <w:rPr>
                <w:color w:val="000000" w:themeColor="text1"/>
              </w:rPr>
              <w:t>Most over the counter vaginal products may be harmful to Lactobacillus crispatus that is necessary for preservation of the function of vaginal epithelium.</w:t>
            </w:r>
          </w:p>
        </w:tc>
        <w:tc>
          <w:tcPr>
            <w:tcW w:w="3320" w:type="dxa"/>
            <w:hideMark/>
          </w:tcPr>
          <w:p w14:paraId="32F468E5" w14:textId="77777777" w:rsidR="0066315C" w:rsidRPr="0066315C" w:rsidRDefault="0066315C" w:rsidP="0066315C">
            <w:pPr>
              <w:spacing w:line="480" w:lineRule="auto"/>
              <w:jc w:val="both"/>
              <w:rPr>
                <w:color w:val="000000" w:themeColor="text1"/>
              </w:rPr>
            </w:pPr>
            <w:r w:rsidRPr="0066315C">
              <w:rPr>
                <w:color w:val="000000" w:themeColor="text1"/>
              </w:rPr>
              <w:t>It's a laboratory based experimental study</w:t>
            </w:r>
          </w:p>
        </w:tc>
      </w:tr>
    </w:tbl>
    <w:p w14:paraId="6BFD9D79" w14:textId="77777777" w:rsidR="0066315C" w:rsidRPr="00B53C40" w:rsidRDefault="0066315C" w:rsidP="0066315C">
      <w:pPr>
        <w:spacing w:line="480" w:lineRule="auto"/>
        <w:jc w:val="both"/>
        <w:rPr>
          <w:i/>
          <w:iCs/>
          <w:color w:val="000000" w:themeColor="text1"/>
        </w:rPr>
      </w:pPr>
    </w:p>
    <w:sectPr w:rsidR="0066315C" w:rsidRPr="00B53C40" w:rsidSect="00306AAD">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B4FE65" w14:textId="77777777" w:rsidR="0066315C" w:rsidRDefault="0066315C" w:rsidP="0066315C">
      <w:r>
        <w:separator/>
      </w:r>
    </w:p>
  </w:endnote>
  <w:endnote w:type="continuationSeparator" w:id="0">
    <w:p w14:paraId="16F45EC9" w14:textId="77777777" w:rsidR="0066315C" w:rsidRDefault="0066315C" w:rsidP="006631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w:altName w:val="﷽﷽﷽﷽﷽﷽﷽﷽蠰"/>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C806C1" w14:textId="77777777" w:rsidR="0066315C" w:rsidRDefault="0066315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8F2337" w14:textId="77777777" w:rsidR="00F468AB" w:rsidRDefault="0066315C" w:rsidP="004E2A4E">
    <w:pPr>
      <w:pStyle w:val="Footer"/>
      <w:jc w:val="right"/>
      <w:rPr>
        <w:rFonts w:ascii="Times" w:hAnsi="Times"/>
        <w:i/>
        <w:iCs/>
        <w:color w:val="4472C4" w:themeColor="accent1"/>
        <w:sz w:val="24"/>
        <w:szCs w:val="24"/>
      </w:rPr>
    </w:pPr>
  </w:p>
  <w:p w14:paraId="3D46E35A" w14:textId="77777777" w:rsidR="00F468AB" w:rsidRPr="00D00615" w:rsidRDefault="0066315C" w:rsidP="004E2A4E">
    <w:pPr>
      <w:pStyle w:val="Footer"/>
      <w:jc w:val="right"/>
      <w:rPr>
        <w:rFonts w:ascii="Times" w:hAnsi="Times"/>
        <w:i/>
        <w:iCs/>
        <w:color w:val="4472C4" w:themeColor="accent1"/>
        <w:sz w:val="24"/>
        <w:szCs w:val="24"/>
      </w:rPr>
    </w:pPr>
    <w:r w:rsidRPr="00D00615">
      <w:rPr>
        <w:rFonts w:ascii="Times" w:hAnsi="Times"/>
        <w:i/>
        <w:iCs/>
        <w:color w:val="4472C4" w:themeColor="accent1"/>
        <w:sz w:val="24"/>
        <w:szCs w:val="24"/>
      </w:rPr>
      <w:t>Feminine hygiene and infections</w:t>
    </w:r>
  </w:p>
  <w:p w14:paraId="638CBC99" w14:textId="77777777" w:rsidR="00F468AB" w:rsidRDefault="0066315C">
    <w:pPr>
      <w:pStyle w:val="Footer"/>
      <w:jc w:val="center"/>
      <w:rPr>
        <w:color w:val="4472C4" w:themeColor="accent1"/>
      </w:rPr>
    </w:pPr>
  </w:p>
  <w:p w14:paraId="292C2FAC" w14:textId="77777777" w:rsidR="00F468AB" w:rsidRPr="00D00615" w:rsidRDefault="0066315C" w:rsidP="00D00615">
    <w:pPr>
      <w:pStyle w:val="Footer"/>
      <w:jc w:val="center"/>
      <w:rPr>
        <w:rFonts w:ascii="Times" w:hAnsi="Times"/>
        <w:color w:val="4472C4" w:themeColor="accent1"/>
        <w:sz w:val="21"/>
        <w:szCs w:val="21"/>
      </w:rPr>
    </w:pPr>
    <w:r w:rsidRPr="00D00615">
      <w:rPr>
        <w:rFonts w:ascii="Times" w:hAnsi="Times"/>
        <w:color w:val="4472C4" w:themeColor="accent1"/>
        <w:sz w:val="21"/>
        <w:szCs w:val="21"/>
      </w:rPr>
      <w:t xml:space="preserve">Page </w:t>
    </w:r>
    <w:r w:rsidRPr="00D00615">
      <w:rPr>
        <w:rFonts w:ascii="Times" w:hAnsi="Times"/>
        <w:color w:val="4472C4" w:themeColor="accent1"/>
        <w:sz w:val="21"/>
        <w:szCs w:val="21"/>
      </w:rPr>
      <w:fldChar w:fldCharType="begin"/>
    </w:r>
    <w:r w:rsidRPr="00D00615">
      <w:rPr>
        <w:rFonts w:ascii="Times" w:hAnsi="Times"/>
        <w:color w:val="4472C4" w:themeColor="accent1"/>
        <w:sz w:val="21"/>
        <w:szCs w:val="21"/>
      </w:rPr>
      <w:instrText xml:space="preserve"> PAGE  \* Arabic  \* MERGEFORMAT </w:instrText>
    </w:r>
    <w:r w:rsidRPr="00D00615">
      <w:rPr>
        <w:rFonts w:ascii="Times" w:hAnsi="Times"/>
        <w:color w:val="4472C4" w:themeColor="accent1"/>
        <w:sz w:val="21"/>
        <w:szCs w:val="21"/>
      </w:rPr>
      <w:fldChar w:fldCharType="separate"/>
    </w:r>
    <w:r>
      <w:rPr>
        <w:rFonts w:ascii="Times" w:hAnsi="Times"/>
        <w:noProof/>
        <w:color w:val="4472C4" w:themeColor="accent1"/>
        <w:sz w:val="21"/>
        <w:szCs w:val="21"/>
      </w:rPr>
      <w:t>6</w:t>
    </w:r>
    <w:r w:rsidRPr="00D00615">
      <w:rPr>
        <w:rFonts w:ascii="Times" w:hAnsi="Times"/>
        <w:color w:val="4472C4" w:themeColor="accent1"/>
        <w:sz w:val="21"/>
        <w:szCs w:val="21"/>
      </w:rPr>
      <w:fldChar w:fldCharType="end"/>
    </w:r>
    <w:r w:rsidRPr="00D00615">
      <w:rPr>
        <w:rFonts w:ascii="Times" w:hAnsi="Times"/>
        <w:color w:val="4472C4" w:themeColor="accent1"/>
        <w:sz w:val="21"/>
        <w:szCs w:val="21"/>
      </w:rPr>
      <w:t xml:space="preserve"> of </w:t>
    </w:r>
    <w:r w:rsidRPr="00D00615">
      <w:rPr>
        <w:rFonts w:ascii="Times" w:hAnsi="Times"/>
        <w:color w:val="4472C4" w:themeColor="accent1"/>
        <w:sz w:val="21"/>
        <w:szCs w:val="21"/>
      </w:rPr>
      <w:fldChar w:fldCharType="begin"/>
    </w:r>
    <w:r w:rsidRPr="00D00615">
      <w:rPr>
        <w:rFonts w:ascii="Times" w:hAnsi="Times"/>
        <w:color w:val="4472C4" w:themeColor="accent1"/>
        <w:sz w:val="21"/>
        <w:szCs w:val="21"/>
      </w:rPr>
      <w:instrText xml:space="preserve"> NUMPAGES  \* Arabic  \* MERGEFORMAT </w:instrText>
    </w:r>
    <w:r w:rsidRPr="00D00615">
      <w:rPr>
        <w:rFonts w:ascii="Times" w:hAnsi="Times"/>
        <w:color w:val="4472C4" w:themeColor="accent1"/>
        <w:sz w:val="21"/>
        <w:szCs w:val="21"/>
      </w:rPr>
      <w:fldChar w:fldCharType="separate"/>
    </w:r>
    <w:r>
      <w:rPr>
        <w:rFonts w:ascii="Times" w:hAnsi="Times"/>
        <w:noProof/>
        <w:color w:val="4472C4" w:themeColor="accent1"/>
        <w:sz w:val="21"/>
        <w:szCs w:val="21"/>
      </w:rPr>
      <w:t>27</w:t>
    </w:r>
    <w:r w:rsidRPr="00D00615">
      <w:rPr>
        <w:rFonts w:ascii="Times" w:hAnsi="Times"/>
        <w:color w:val="4472C4" w:themeColor="accent1"/>
        <w:sz w:val="21"/>
        <w:szCs w:val="21"/>
      </w:rPr>
      <w:fldChar w:fldCharType="end"/>
    </w:r>
  </w:p>
  <w:p w14:paraId="1F2D9727" w14:textId="77777777" w:rsidR="00F468AB" w:rsidRDefault="0066315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815B51" w14:textId="77777777" w:rsidR="0066315C" w:rsidRDefault="006631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E3FF9E" w14:textId="77777777" w:rsidR="0066315C" w:rsidRDefault="0066315C" w:rsidP="0066315C">
      <w:r>
        <w:separator/>
      </w:r>
    </w:p>
  </w:footnote>
  <w:footnote w:type="continuationSeparator" w:id="0">
    <w:p w14:paraId="05B54165" w14:textId="77777777" w:rsidR="0066315C" w:rsidRDefault="0066315C" w:rsidP="006631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603A58" w14:textId="77777777" w:rsidR="0066315C" w:rsidRDefault="0066315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C9A0B3" w14:textId="77777777" w:rsidR="0066315C" w:rsidRDefault="0066315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DD2BE6" w14:textId="77777777" w:rsidR="0066315C" w:rsidRDefault="0066315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836469"/>
    <w:multiLevelType w:val="hybridMultilevel"/>
    <w:tmpl w:val="D59438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315C"/>
    <w:rsid w:val="00507CD3"/>
    <w:rsid w:val="006631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2AE7FA"/>
  <w15:chartTrackingRefBased/>
  <w15:docId w15:val="{C096B248-61C2-449E-AFE2-F7E5FF96EC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315C"/>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6315C"/>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66315C"/>
    <w:pPr>
      <w:tabs>
        <w:tab w:val="center" w:pos="4680"/>
        <w:tab w:val="right" w:pos="9360"/>
      </w:tabs>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66315C"/>
  </w:style>
  <w:style w:type="character" w:styleId="LineNumber">
    <w:name w:val="line number"/>
    <w:basedOn w:val="DefaultParagraphFont"/>
    <w:uiPriority w:val="99"/>
    <w:semiHidden/>
    <w:unhideWhenUsed/>
    <w:rsid w:val="0066315C"/>
  </w:style>
  <w:style w:type="paragraph" w:styleId="ListParagraph">
    <w:name w:val="List Paragraph"/>
    <w:basedOn w:val="Normal"/>
    <w:uiPriority w:val="34"/>
    <w:qFormat/>
    <w:rsid w:val="0066315C"/>
    <w:pPr>
      <w:ind w:left="720"/>
      <w:contextualSpacing/>
    </w:pPr>
  </w:style>
  <w:style w:type="paragraph" w:styleId="Header">
    <w:name w:val="header"/>
    <w:basedOn w:val="Normal"/>
    <w:link w:val="HeaderChar"/>
    <w:uiPriority w:val="99"/>
    <w:unhideWhenUsed/>
    <w:rsid w:val="0066315C"/>
    <w:pPr>
      <w:tabs>
        <w:tab w:val="center" w:pos="4680"/>
        <w:tab w:val="right" w:pos="9360"/>
      </w:tabs>
    </w:pPr>
  </w:style>
  <w:style w:type="character" w:customStyle="1" w:styleId="HeaderChar">
    <w:name w:val="Header Char"/>
    <w:basedOn w:val="DefaultParagraphFont"/>
    <w:link w:val="Header"/>
    <w:uiPriority w:val="99"/>
    <w:rsid w:val="0066315C"/>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178</Words>
  <Characters>1017</Characters>
  <Application>Microsoft Office Word</Application>
  <DocSecurity>0</DocSecurity>
  <Lines>8</Lines>
  <Paragraphs>2</Paragraphs>
  <ScaleCrop>false</ScaleCrop>
  <Company/>
  <LinksUpToDate>false</LinksUpToDate>
  <CharactersWithSpaces>1193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Paree, Rachel Vinitha (ELS-CHN)</dc:creator>
  <cp:keywords/>
  <dc:description/>
  <cp:lastModifiedBy>Paree, Rachel Vinitha (ELS-CHN)</cp:lastModifiedBy>
  <cp:revision>1</cp:revision>
  <dcterms:created xsi:type="dcterms:W3CDTF">2022-06-30T12:10:00Z</dcterms:created>
  <dcterms:modified xsi:type="dcterms:W3CDTF">2022-06-30T12:12:00Z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49ac42a-3eb4-4074-b885-aea26bd6241e_Enabled">
    <vt:lpwstr>true</vt:lpwstr>
  </property>
  <property fmtid="{D5CDD505-2E9C-101B-9397-08002B2CF9AE}" pid="3" name="MSIP_Label_549ac42a-3eb4-4074-b885-aea26bd6241e_SetDate">
    <vt:lpwstr>2022-06-30T12:10:53Z</vt:lpwstr>
  </property>
  <property fmtid="{D5CDD505-2E9C-101B-9397-08002B2CF9AE}" pid="4" name="MSIP_Label_549ac42a-3eb4-4074-b885-aea26bd6241e_Method">
    <vt:lpwstr>Standard</vt:lpwstr>
  </property>
  <property fmtid="{D5CDD505-2E9C-101B-9397-08002B2CF9AE}" pid="5" name="MSIP_Label_549ac42a-3eb4-4074-b885-aea26bd6241e_Name">
    <vt:lpwstr>General Business</vt:lpwstr>
  </property>
  <property fmtid="{D5CDD505-2E9C-101B-9397-08002B2CF9AE}" pid="6" name="MSIP_Label_549ac42a-3eb4-4074-b885-aea26bd6241e_SiteId">
    <vt:lpwstr>9274ee3f-9425-4109-a27f-9fb15c10675d</vt:lpwstr>
  </property>
  <property fmtid="{D5CDD505-2E9C-101B-9397-08002B2CF9AE}" pid="7" name="MSIP_Label_549ac42a-3eb4-4074-b885-aea26bd6241e_ActionId">
    <vt:lpwstr>ce5954a3-17fc-45d4-8844-5ad75f399d93</vt:lpwstr>
  </property>
  <property fmtid="{D5CDD505-2E9C-101B-9397-08002B2CF9AE}" pid="8" name="MSIP_Label_549ac42a-3eb4-4074-b885-aea26bd6241e_ContentBits">
    <vt:lpwstr>0</vt:lpwstr>
  </property>
</Properties>
</file>